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1F0D">
      <w:pPr>
        <w:spacing w:line="45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>
          <v:line id="_x0000_s1026" style="position:absolute;z-index:-251660800;mso-position-horizontal-relative:page;mso-position-vertical-relative:page" from="482.75pt,19.9pt" to="482.75pt,47.25pt" o:userdrawn="t" strokeweight=".72pt">
            <w10:wrap anchorx="page" anchory="page"/>
          </v:line>
        </w:pict>
      </w:r>
      <w:r>
        <w:pict>
          <v:line id="_x0000_s1027" style="position:absolute;z-index:-251659776;mso-position-horizontal-relative:page;mso-position-vertical-relative:page" from="42.2pt,20.25pt" to="483.1pt,20.25pt" o:userdrawn="t" strokeweight=".72pt">
            <w10:wrap anchorx="page" anchory="page"/>
          </v:line>
        </w:pict>
      </w:r>
      <w:r>
        <w:pict>
          <v:line id="_x0000_s1028" style="position:absolute;z-index:-251658752;mso-position-horizontal-relative:page;mso-position-vertical-relative:page" from="42.6pt,19.9pt" to="42.6pt,47.25pt" o:userdrawn="t" strokeweight=".72pt">
            <w10:wrap anchorx="page" anchory="page"/>
          </v:line>
        </w:pict>
      </w:r>
      <w:r>
        <w:pict>
          <v:line id="_x0000_s1029" style="position:absolute;z-index:-251657728;mso-position-horizontal-relative:page;mso-position-vertical-relative:page" from="42.2pt,46.9pt" to="483.1pt,46.9pt" o:userdrawn="t" strokeweight=".72pt">
            <w10:wrap anchorx="page" anchory="page"/>
          </v:line>
        </w:pict>
      </w:r>
    </w:p>
    <w:p w:rsidR="00000000" w:rsidRDefault="007F1F0D">
      <w:pPr>
        <w:spacing w:line="0" w:lineRule="atLeast"/>
        <w:ind w:left="260"/>
        <w:rPr>
          <w:rFonts w:ascii="Segoe UI" w:eastAsia="Segoe UI" w:hAnsi="Segoe UI"/>
          <w:sz w:val="14"/>
        </w:rPr>
      </w:pPr>
      <w:r>
        <w:rPr>
          <w:rFonts w:ascii="Segoe UI Semibold" w:eastAsia="Segoe UI Semibold" w:hAnsi="Segoe UI Semibold"/>
          <w:b/>
          <w:sz w:val="14"/>
        </w:rPr>
        <w:t xml:space="preserve">Hinweis: </w:t>
      </w:r>
      <w:r>
        <w:rPr>
          <w:rFonts w:ascii="Segoe UI" w:eastAsia="Segoe UI" w:hAnsi="Segoe UI"/>
          <w:sz w:val="14"/>
        </w:rPr>
        <w:t>Dieses kurze Muster soll Verantwortlichen nur den</w:t>
      </w:r>
      <w:r>
        <w:rPr>
          <w:rFonts w:ascii="Segoe UI Semibold" w:eastAsia="Segoe UI Semibold" w:hAnsi="Segoe UI Semibold"/>
          <w:b/>
          <w:sz w:val="14"/>
        </w:rPr>
        <w:t xml:space="preserve"> </w:t>
      </w:r>
      <w:r>
        <w:rPr>
          <w:rFonts w:ascii="Segoe UI" w:eastAsia="Segoe UI" w:hAnsi="Segoe UI"/>
          <w:sz w:val="14"/>
          <w:u w:val="single"/>
        </w:rPr>
        <w:t>Einstieg</w:t>
      </w:r>
      <w:r>
        <w:rPr>
          <w:rFonts w:ascii="Segoe UI Semibold" w:eastAsia="Segoe UI Semibold" w:hAnsi="Segoe UI Semibold"/>
          <w:b/>
          <w:sz w:val="14"/>
        </w:rPr>
        <w:t xml:space="preserve"> </w:t>
      </w:r>
      <w:r>
        <w:rPr>
          <w:rFonts w:ascii="Segoe UI" w:eastAsia="Segoe UI" w:hAnsi="Segoe UI"/>
          <w:sz w:val="14"/>
        </w:rPr>
        <w:t>in das Thema „Verzeichnis von Verarbeitungstätigkeiten</w:t>
      </w:r>
      <w:r>
        <w:rPr>
          <w:rFonts w:ascii="Segoe UI" w:eastAsia="Segoe UI" w:hAnsi="Segoe UI"/>
          <w:sz w:val="14"/>
        </w:rPr>
        <w:t>“ gem. Art.</w:t>
      </w:r>
    </w:p>
    <w:p w:rsidR="00000000" w:rsidRDefault="007F1F0D">
      <w:pPr>
        <w:spacing w:line="235" w:lineRule="auto"/>
        <w:ind w:left="260"/>
        <w:rPr>
          <w:rFonts w:ascii="Segoe UI" w:eastAsia="Segoe UI" w:hAnsi="Segoe UI"/>
          <w:sz w:val="14"/>
        </w:rPr>
      </w:pPr>
      <w:r>
        <w:rPr>
          <w:rFonts w:ascii="Segoe UI" w:eastAsia="Segoe UI" w:hAnsi="Segoe UI"/>
          <w:sz w:val="14"/>
        </w:rPr>
        <w:t xml:space="preserve">30 Abs. 1 DS-GVO erleichtern. Ein umfassendes Muster ist unter </w:t>
      </w:r>
      <w:r>
        <w:rPr>
          <w:rFonts w:ascii="Segoe UI" w:eastAsia="Segoe UI" w:hAnsi="Segoe UI"/>
          <w:color w:val="008DC9"/>
          <w:sz w:val="14"/>
        </w:rPr>
        <w:t>www.lda.bayern.de/media/dsk_muster_vov_verantwortliche</w:t>
      </w:r>
      <w:r>
        <w:rPr>
          <w:rFonts w:ascii="Segoe UI" w:eastAsia="Segoe UI" w:hAnsi="Segoe UI"/>
          <w:color w:val="008DC9"/>
          <w:sz w:val="14"/>
        </w:rPr>
        <w:t>r.pdf</w:t>
      </w:r>
      <w:r>
        <w:rPr>
          <w:rFonts w:ascii="Segoe UI" w:eastAsia="Segoe UI" w:hAnsi="Segoe UI"/>
          <w:sz w:val="14"/>
        </w:rPr>
        <w:t xml:space="preserve"> abrufbar.</w:t>
      </w:r>
    </w:p>
    <w:p w:rsidR="00000000" w:rsidRDefault="007F1F0D">
      <w:pPr>
        <w:spacing w:line="0" w:lineRule="atLeast"/>
        <w:ind w:right="1640"/>
        <w:jc w:val="right"/>
        <w:rPr>
          <w:rFonts w:ascii="Segoe UI" w:eastAsia="Segoe UI" w:hAnsi="Segoe UI"/>
          <w:color w:val="008DC9"/>
          <w:sz w:val="23"/>
        </w:rPr>
      </w:pPr>
      <w:r>
        <w:rPr>
          <w:rFonts w:ascii="Segoe UI" w:eastAsia="Segoe UI" w:hAnsi="Segoe UI"/>
          <w:sz w:val="14"/>
        </w:rPr>
        <w:br w:type="column"/>
      </w:r>
      <w:r>
        <w:rPr>
          <w:rFonts w:ascii="Segoe UI" w:eastAsia="Segoe UI" w:hAnsi="Segoe UI"/>
          <w:color w:val="008DC9"/>
          <w:sz w:val="23"/>
        </w:rPr>
        <w:lastRenderedPageBreak/>
        <w:t>Bayerisches Landesamt für</w:t>
      </w:r>
    </w:p>
    <w:p w:rsidR="00000000" w:rsidRDefault="007F1F0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egoe UI" w:eastAsia="Segoe UI" w:hAnsi="Segoe UI"/>
          <w:noProof/>
          <w:color w:val="008DC9"/>
          <w:sz w:val="2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-320675</wp:posOffset>
            </wp:positionV>
            <wp:extent cx="3386455" cy="524510"/>
            <wp:effectExtent l="19050" t="0" r="444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F1F0D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spacing w:line="0" w:lineRule="atLeast"/>
        <w:ind w:right="1640"/>
        <w:jc w:val="right"/>
        <w:rPr>
          <w:rFonts w:ascii="Segoe UI" w:eastAsia="Segoe UI" w:hAnsi="Segoe UI"/>
          <w:color w:val="008DC9"/>
          <w:sz w:val="23"/>
        </w:rPr>
      </w:pPr>
      <w:r>
        <w:rPr>
          <w:rFonts w:ascii="Segoe UI" w:eastAsia="Segoe UI" w:hAnsi="Segoe UI"/>
          <w:color w:val="008DC9"/>
          <w:sz w:val="23"/>
        </w:rPr>
        <w:t>Datenschutzaufsicht</w:t>
      </w:r>
    </w:p>
    <w:p w:rsidR="00000000" w:rsidRDefault="007F1F0D">
      <w:pPr>
        <w:spacing w:line="0" w:lineRule="atLeast"/>
        <w:ind w:right="1640"/>
        <w:jc w:val="right"/>
        <w:rPr>
          <w:rFonts w:ascii="Segoe UI" w:eastAsia="Segoe UI" w:hAnsi="Segoe UI"/>
          <w:color w:val="008DC9"/>
          <w:sz w:val="23"/>
        </w:rPr>
        <w:sectPr w:rsidR="00000000">
          <w:pgSz w:w="16840" w:h="11906" w:orient="landscape"/>
          <w:pgMar w:top="430" w:right="358" w:bottom="119" w:left="740" w:header="0" w:footer="0" w:gutter="0"/>
          <w:cols w:num="2" w:space="0" w:equalWidth="0">
            <w:col w:w="10700" w:space="720"/>
            <w:col w:w="4320"/>
          </w:cols>
          <w:docGrid w:linePitch="360"/>
        </w:sectPr>
      </w:pPr>
    </w:p>
    <w:p w:rsidR="00000000" w:rsidRDefault="007F1F0D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spacing w:line="0" w:lineRule="atLeast"/>
        <w:ind w:left="120"/>
        <w:rPr>
          <w:rFonts w:ascii="Segoe UI Semibold" w:eastAsia="Segoe UI Semibold" w:hAnsi="Segoe UI Semibold"/>
          <w:b/>
          <w:color w:val="008DC9"/>
          <w:sz w:val="28"/>
        </w:rPr>
      </w:pPr>
      <w:r>
        <w:rPr>
          <w:rFonts w:ascii="Segoe UI Semibold" w:eastAsia="Segoe UI Semibold" w:hAnsi="Segoe UI Semibold"/>
          <w:b/>
          <w:color w:val="008DC9"/>
          <w:sz w:val="28"/>
        </w:rPr>
        <w:t xml:space="preserve">Muster 1: Verein </w:t>
      </w:r>
      <w:r>
        <w:rPr>
          <w:rFonts w:ascii="Segoe UI Semibold" w:eastAsia="Segoe UI Semibold" w:hAnsi="Segoe UI Semibold"/>
          <w:b/>
          <w:color w:val="008DC9"/>
          <w:sz w:val="28"/>
        </w:rPr>
        <w:t>–</w:t>
      </w:r>
      <w:r>
        <w:rPr>
          <w:rFonts w:ascii="Segoe UI Semibold" w:eastAsia="Segoe UI Semibold" w:hAnsi="Segoe UI Semibold"/>
          <w:b/>
          <w:color w:val="008DC9"/>
          <w:sz w:val="28"/>
        </w:rPr>
        <w:t xml:space="preserve"> Verzeichnis von Verarbeitungstätigkeiten</w:t>
      </w:r>
    </w:p>
    <w:p w:rsidR="00000000" w:rsidRDefault="007F1F0D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spacing w:line="0" w:lineRule="atLeast"/>
        <w:ind w:left="120"/>
        <w:rPr>
          <w:rFonts w:ascii="Segoe UI Semibold" w:eastAsia="Segoe UI Semibold" w:hAnsi="Segoe UI Semibold"/>
          <w:b/>
          <w:sz w:val="16"/>
        </w:rPr>
      </w:pPr>
      <w:r>
        <w:rPr>
          <w:rFonts w:ascii="Segoe UI Semibold" w:eastAsia="Segoe UI Semibold" w:hAnsi="Segoe UI Semibold"/>
          <w:b/>
          <w:sz w:val="16"/>
        </w:rPr>
        <w:t>Verantwortlicher:</w:t>
      </w:r>
    </w:p>
    <w:p w:rsidR="00000000" w:rsidRDefault="007F1F0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tabs>
          <w:tab w:val="left" w:pos="2220"/>
          <w:tab w:val="left" w:pos="5760"/>
        </w:tabs>
        <w:spacing w:line="0" w:lineRule="atLeast"/>
        <w:ind w:left="120"/>
        <w:rPr>
          <w:rFonts w:ascii="Segoe UI" w:eastAsia="Segoe UI" w:hAnsi="Segoe UI"/>
          <w:sz w:val="15"/>
        </w:rPr>
      </w:pPr>
      <w:r>
        <w:rPr>
          <w:rFonts w:ascii="Segoe UI" w:eastAsia="Segoe UI" w:hAnsi="Segoe UI"/>
          <w:sz w:val="16"/>
        </w:rPr>
        <w:t>TSV Waldermühl e.V.</w:t>
      </w:r>
      <w:r>
        <w:rPr>
          <w:rFonts w:ascii="Times New Roman" w:eastAsia="Times New Roman" w:hAnsi="Times New Roman"/>
        </w:rPr>
        <w:tab/>
      </w:r>
      <w:r>
        <w:rPr>
          <w:rFonts w:ascii="Segoe UI" w:eastAsia="Segoe UI" w:hAnsi="Segoe UI"/>
          <w:sz w:val="16"/>
        </w:rPr>
        <w:t>Tel. 0981/123456-0</w:t>
      </w:r>
      <w:r>
        <w:rPr>
          <w:rFonts w:ascii="Times New Roman" w:eastAsia="Times New Roman" w:hAnsi="Times New Roman"/>
        </w:rPr>
        <w:tab/>
      </w:r>
      <w:r>
        <w:rPr>
          <w:rFonts w:ascii="Segoe UI" w:eastAsia="Segoe UI" w:hAnsi="Segoe UI"/>
          <w:sz w:val="15"/>
        </w:rPr>
        <w:t>Vorstand: Dieter Eckbauer-Düppels, geb. 03.12.1952</w:t>
      </w:r>
    </w:p>
    <w:p w:rsidR="00000000" w:rsidRDefault="007F1F0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tabs>
          <w:tab w:val="left" w:pos="2220"/>
        </w:tabs>
        <w:spacing w:line="0" w:lineRule="atLeast"/>
        <w:ind w:left="120"/>
        <w:rPr>
          <w:rFonts w:ascii="Segoe UI" w:eastAsia="Segoe UI" w:hAnsi="Segoe UI"/>
          <w:sz w:val="15"/>
        </w:rPr>
      </w:pPr>
      <w:r>
        <w:rPr>
          <w:rFonts w:ascii="Segoe UI" w:eastAsia="Segoe UI" w:hAnsi="Segoe UI"/>
          <w:sz w:val="16"/>
        </w:rPr>
        <w:t>Steinbauerstr. 45</w:t>
      </w:r>
      <w:r>
        <w:rPr>
          <w:rFonts w:ascii="Segoe UI" w:eastAsia="Segoe UI" w:hAnsi="Segoe UI"/>
          <w:sz w:val="16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Segoe UI" w:eastAsia="Segoe UI" w:hAnsi="Segoe UI"/>
          <w:sz w:val="15"/>
        </w:rPr>
        <w:t>E-Mail: team@waldermuehler-tsv.de</w:t>
      </w:r>
    </w:p>
    <w:p w:rsidR="00000000" w:rsidRDefault="007F1F0D">
      <w:pPr>
        <w:tabs>
          <w:tab w:val="left" w:pos="2220"/>
        </w:tabs>
        <w:spacing w:line="0" w:lineRule="atLeast"/>
        <w:ind w:left="120"/>
        <w:rPr>
          <w:rFonts w:ascii="Segoe UI" w:eastAsia="Segoe UI" w:hAnsi="Segoe UI"/>
          <w:sz w:val="15"/>
        </w:rPr>
      </w:pPr>
      <w:r>
        <w:rPr>
          <w:rFonts w:ascii="Segoe UI" w:eastAsia="Segoe UI" w:hAnsi="Segoe UI"/>
          <w:sz w:val="16"/>
        </w:rPr>
        <w:t>98123 Sonsthausen</w:t>
      </w:r>
      <w:r>
        <w:rPr>
          <w:rFonts w:ascii="Times New Roman" w:eastAsia="Times New Roman" w:hAnsi="Times New Roman"/>
        </w:rPr>
        <w:tab/>
      </w:r>
      <w:r>
        <w:rPr>
          <w:rFonts w:ascii="Segoe UI" w:eastAsia="Segoe UI" w:hAnsi="Segoe UI"/>
          <w:sz w:val="15"/>
        </w:rPr>
        <w:t>Web: www.waldermuehler-tsv.de</w:t>
      </w:r>
    </w:p>
    <w:p w:rsidR="00000000" w:rsidRDefault="007F1F0D">
      <w:pPr>
        <w:spacing w:line="20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0"/>
        <w:gridCol w:w="1580"/>
        <w:gridCol w:w="100"/>
        <w:gridCol w:w="120"/>
        <w:gridCol w:w="1160"/>
        <w:gridCol w:w="120"/>
        <w:gridCol w:w="100"/>
        <w:gridCol w:w="780"/>
        <w:gridCol w:w="220"/>
        <w:gridCol w:w="160"/>
        <w:gridCol w:w="1320"/>
        <w:gridCol w:w="220"/>
        <w:gridCol w:w="160"/>
        <w:gridCol w:w="1440"/>
        <w:gridCol w:w="220"/>
        <w:gridCol w:w="180"/>
        <w:gridCol w:w="1340"/>
        <w:gridCol w:w="220"/>
        <w:gridCol w:w="1000"/>
        <w:gridCol w:w="200"/>
        <w:gridCol w:w="840"/>
        <w:gridCol w:w="220"/>
        <w:gridCol w:w="1520"/>
        <w:gridCol w:w="100"/>
        <w:gridCol w:w="100"/>
        <w:gridCol w:w="2080"/>
        <w:gridCol w:w="120"/>
      </w:tblGrid>
      <w:tr w:rsidR="00000000">
        <w:trPr>
          <w:trHeight w:val="1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w w:val="99"/>
                <w:sz w:val="16"/>
                <w:shd w:val="clear" w:color="auto" w:fill="1F497D"/>
              </w:rPr>
            </w:pPr>
            <w:r>
              <w:rPr>
                <w:rFonts w:ascii="Segoe UI" w:eastAsia="Segoe UI" w:hAnsi="Segoe UI"/>
                <w:color w:val="FFFFFF"/>
                <w:w w:val="99"/>
                <w:sz w:val="16"/>
                <w:shd w:val="clear" w:color="auto" w:fill="1F497D"/>
              </w:rPr>
              <w:t>Verarbeitungstätigkeit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w w:val="96"/>
                <w:sz w:val="16"/>
                <w:shd w:val="clear" w:color="auto" w:fill="1F497D"/>
              </w:rPr>
            </w:pPr>
            <w:r>
              <w:rPr>
                <w:rFonts w:ascii="Segoe UI" w:eastAsia="Segoe UI" w:hAnsi="Segoe UI"/>
                <w:color w:val="FFFFFF"/>
                <w:w w:val="96"/>
                <w:sz w:val="16"/>
                <w:shd w:val="clear" w:color="auto" w:fill="1F497D"/>
              </w:rPr>
              <w:t>Ansprechpartner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sz w:val="16"/>
                <w:shd w:val="clear" w:color="auto" w:fill="1F497D"/>
              </w:rPr>
            </w:pPr>
            <w:r>
              <w:rPr>
                <w:rFonts w:ascii="Segoe UI" w:eastAsia="Segoe UI" w:hAnsi="Segoe UI"/>
                <w:color w:val="FFFFFF"/>
                <w:sz w:val="16"/>
                <w:shd w:val="clear" w:color="auto" w:fill="1F497D"/>
              </w:rPr>
              <w:t>Datum der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Zwecke der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Kategorie betroffene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Kategorie von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w w:val="99"/>
                <w:sz w:val="16"/>
                <w:shd w:val="clear" w:color="auto" w:fill="1F497D"/>
              </w:rPr>
            </w:pPr>
            <w:r>
              <w:rPr>
                <w:rFonts w:ascii="Segoe UI" w:eastAsia="Segoe UI" w:hAnsi="Segoe UI"/>
                <w:color w:val="FFFFFF"/>
                <w:w w:val="99"/>
                <w:sz w:val="16"/>
                <w:shd w:val="clear" w:color="auto" w:fill="1F497D"/>
              </w:rPr>
              <w:t>Kategorie von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Drittlands-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Löschfristen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color w:val="FFFFFF"/>
                <w:sz w:val="16"/>
                <w:shd w:val="clear" w:color="auto" w:fill="1F497D"/>
              </w:rPr>
            </w:pPr>
            <w:r>
              <w:rPr>
                <w:rFonts w:ascii="Segoe UI" w:eastAsia="Segoe UI" w:hAnsi="Segoe UI"/>
                <w:color w:val="FFFFFF"/>
                <w:sz w:val="16"/>
                <w:shd w:val="clear" w:color="auto" w:fill="1F497D"/>
              </w:rPr>
              <w:t>Technische/organisatoris</w:t>
            </w:r>
            <w:r>
              <w:rPr>
                <w:rFonts w:ascii="Segoe UI" w:eastAsia="Segoe UI" w:hAnsi="Segoe UI"/>
                <w:color w:val="FFFFFF"/>
                <w:sz w:val="16"/>
                <w:shd w:val="clear" w:color="auto" w:fill="1F497D"/>
              </w:rPr>
              <w:t>che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gridSpan w:val="2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2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8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 w:val="restart"/>
            <w:shd w:val="clear" w:color="auto" w:fill="1F497D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color w:val="FFFFFF"/>
                <w:w w:val="98"/>
                <w:sz w:val="16"/>
                <w:shd w:val="clear" w:color="auto" w:fill="1F497D"/>
              </w:rPr>
            </w:pPr>
            <w:r>
              <w:rPr>
                <w:rFonts w:ascii="Segoe UI" w:eastAsia="Segoe UI" w:hAnsi="Segoe UI"/>
                <w:color w:val="FFFFFF"/>
                <w:w w:val="98"/>
                <w:sz w:val="16"/>
                <w:shd w:val="clear" w:color="auto" w:fill="1F497D"/>
              </w:rPr>
              <w:t>Einführung</w:t>
            </w:r>
          </w:p>
        </w:tc>
        <w:tc>
          <w:tcPr>
            <w:tcW w:w="2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1F497D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Verarbeitung</w:t>
            </w:r>
          </w:p>
        </w:tc>
        <w:tc>
          <w:tcPr>
            <w:tcW w:w="2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1F497D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Personen</w:t>
            </w:r>
          </w:p>
        </w:tc>
        <w:tc>
          <w:tcPr>
            <w:tcW w:w="2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1F497D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color w:val="FFFFFF"/>
                <w:sz w:val="16"/>
                <w:shd w:val="clear" w:color="auto" w:fill="1F497D"/>
              </w:rPr>
            </w:pPr>
            <w:r>
              <w:rPr>
                <w:rFonts w:ascii="Segoe UI" w:eastAsia="Segoe UI" w:hAnsi="Segoe UI"/>
                <w:color w:val="FFFFFF"/>
                <w:sz w:val="16"/>
                <w:shd w:val="clear" w:color="auto" w:fill="1F497D"/>
              </w:rPr>
              <w:t>personenbez. Daten</w:t>
            </w:r>
          </w:p>
        </w:tc>
        <w:tc>
          <w:tcPr>
            <w:tcW w:w="2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1F497D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Empfängern</w:t>
            </w:r>
          </w:p>
        </w:tc>
        <w:tc>
          <w:tcPr>
            <w:tcW w:w="20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1F497D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transfer</w:t>
            </w:r>
          </w:p>
        </w:tc>
        <w:tc>
          <w:tcPr>
            <w:tcW w:w="22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vMerge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80" w:type="dxa"/>
            <w:vMerge w:val="restart"/>
            <w:shd w:val="clear" w:color="auto" w:fill="1F497D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color w:val="FFFFFF"/>
                <w:sz w:val="16"/>
              </w:rPr>
            </w:pPr>
            <w:r>
              <w:rPr>
                <w:rFonts w:ascii="Segoe UI" w:eastAsia="Segoe UI" w:hAnsi="Segoe UI"/>
                <w:color w:val="FFFFFF"/>
                <w:sz w:val="16"/>
              </w:rPr>
              <w:t>Maßnahmen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Lohnabrechnung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Herbert Bauer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10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02.03.2018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6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Auszahlung der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Beschäftigte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Name und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Externer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Kein</w:t>
            </w:r>
            <w:r>
              <w:rPr>
                <w:rFonts w:ascii="Segoe UI" w:eastAsia="Segoe UI" w:hAnsi="Segoe UI"/>
                <w:sz w:val="16"/>
              </w:rPr>
              <w:t>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10 Jahre (Gesetzliche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Siehe IT-Sicherheitskonzept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0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(über externen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0" w:lineRule="exact"/>
              <w:ind w:left="12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0981/123456-1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210" w:lineRule="exact"/>
              <w:ind w:left="6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Löhne/Gehälter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10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Adressen der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210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Dienstleister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0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Aufbewahrungsfrist)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Dienstleister)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herbert@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ind w:left="6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Abfuhr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Beschäftigten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waldmuehler-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6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</w:t>
            </w:r>
            <w:r>
              <w:rPr>
                <w:rFonts w:ascii="Segoe UI" w:eastAsia="Segoe UI" w:hAnsi="Segoe UI"/>
                <w:sz w:val="16"/>
              </w:rPr>
              <w:t>ozialabgaben 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ggf. Religions-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tsv.de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ind w:left="6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Steuern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zugehörigkeit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Eindeutige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Kennzahlen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zur Steuer/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Sozialabgaben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Mitgliederverwaltung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Herbert Bauer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10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02.03.2018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Verwaltung der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Mitglieder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Name und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2 Jahre nach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Siehe IT-Sicherheitskonzept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ind w:left="12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0981/123456-1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Vereinstätigkeiten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Adressen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Beendigung der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herbert@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Eintrittsdatum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Vereinsmitgliedschaft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waldmuehler-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ind w:left="4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Sportbereiche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tsv.de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9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Betrieb der Webseite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Max Meier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10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28.02.2018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Außendarstellung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6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Mitglieder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IP-Adressen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</w:t>
            </w:r>
            <w:r>
              <w:rPr>
                <w:rFonts w:ascii="Segoe UI" w:eastAsia="Segoe UI" w:hAnsi="Segoe UI"/>
                <w:sz w:val="16"/>
              </w:rPr>
              <w:t>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IP-Adresse nach 30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Siehe IT-Sicherheitskonzept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des Sportvereins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12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0981/123456-0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6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Webseitenbesucher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Tagen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+ HTTPS-Verschlüsselung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(über Hosting-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max@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Dienstleister)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waldmuehler-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tsv</w:t>
            </w:r>
            <w:r>
              <w:rPr>
                <w:rFonts w:ascii="Segoe UI" w:eastAsia="Segoe UI" w:hAnsi="Segoe UI"/>
                <w:sz w:val="16"/>
              </w:rPr>
              <w:t>.de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Veröffentlichung von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Max Meier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10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20.02.2018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Außendarstellung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Mitglieder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Fotos von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Wenn Einwilligung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Siehe IT-Sicherheitskonzept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Fotos der Mitglieder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12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0981/123456-0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Vereinstätigkeiten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widerrufen 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auf der Webseite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max@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unverzüglich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waldmuehler-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tsv.de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Beitragsverwaltung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Herbert Bauer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ind w:left="10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22.02.2018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Vereinsfinanzierung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Mitglieder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Bankverbindung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Steuerberater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Keine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10 Ja</w:t>
            </w:r>
            <w:r>
              <w:rPr>
                <w:rFonts w:ascii="Segoe UI" w:eastAsia="Segoe UI" w:hAnsi="Segoe UI"/>
                <w:sz w:val="16"/>
              </w:rPr>
              <w:t>hre (Gesetzliche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Siehe IT-Sicherheitskonzept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ind w:left="120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0981/123456-1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Aufbewahrungsfrist)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herbert@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waldmuehler-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12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tsv.de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 Semibold" w:eastAsia="Segoe UI Semibold" w:hAnsi="Segoe UI Semibold"/>
                <w:b/>
                <w:sz w:val="16"/>
              </w:rPr>
            </w:pPr>
            <w:r>
              <w:rPr>
                <w:rFonts w:ascii="Segoe UI Semibold" w:eastAsia="Segoe UI Semibold" w:hAnsi="Segoe UI Semibold"/>
                <w:b/>
                <w:sz w:val="16"/>
              </w:rPr>
              <w:t>…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204" w:lineRule="exact"/>
              <w:rPr>
                <w:rFonts w:ascii="Segoe UI" w:eastAsia="Segoe UI" w:hAnsi="Segoe UI"/>
                <w:sz w:val="16"/>
              </w:rPr>
            </w:pPr>
            <w:r>
              <w:rPr>
                <w:rFonts w:ascii="Segoe UI" w:eastAsia="Segoe UI" w:hAnsi="Segoe UI"/>
                <w:sz w:val="16"/>
              </w:rPr>
              <w:t>…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1F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00000" w:rsidRDefault="007F1F0D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spacing w:line="0" w:lineRule="atLeast"/>
        <w:ind w:left="120"/>
        <w:rPr>
          <w:rFonts w:ascii="Segoe UI" w:eastAsia="Segoe UI" w:hAnsi="Segoe UI"/>
          <w:color w:val="008DC9"/>
        </w:rPr>
      </w:pPr>
      <w:r>
        <w:rPr>
          <w:rFonts w:ascii="Segoe UI Semibold" w:eastAsia="Segoe UI Semibold" w:hAnsi="Segoe UI Semibold"/>
          <w:b/>
          <w:color w:val="008DC9"/>
        </w:rPr>
        <w:t>Auszug a</w:t>
      </w:r>
      <w:r>
        <w:rPr>
          <w:rFonts w:ascii="Segoe UI Semibold" w:eastAsia="Segoe UI Semibold" w:hAnsi="Segoe UI Semibold"/>
          <w:b/>
          <w:color w:val="008DC9"/>
        </w:rPr>
        <w:t xml:space="preserve">us dem IT-Sicherheitskonzept </w:t>
      </w:r>
      <w:r>
        <w:rPr>
          <w:rFonts w:ascii="Segoe UI" w:eastAsia="Segoe UI" w:hAnsi="Segoe UI"/>
          <w:color w:val="008DC9"/>
        </w:rPr>
        <w:t>(enthält technische und organisatorische Maßnahmen):</w:t>
      </w:r>
    </w:p>
    <w:p w:rsidR="00000000" w:rsidRDefault="007F1F0D">
      <w:pPr>
        <w:spacing w:line="0" w:lineRule="atLeast"/>
        <w:ind w:left="120"/>
        <w:rPr>
          <w:rFonts w:ascii="Segoe UI" w:eastAsia="Segoe UI" w:hAnsi="Segoe UI"/>
          <w:color w:val="008DC9"/>
        </w:rPr>
        <w:sectPr w:rsidR="00000000">
          <w:type w:val="continuous"/>
          <w:pgSz w:w="16840" w:h="11906" w:orient="landscape"/>
          <w:pgMar w:top="430" w:right="358" w:bottom="119" w:left="740" w:header="0" w:footer="0" w:gutter="0"/>
          <w:cols w:space="0" w:equalWidth="0">
            <w:col w:w="15740"/>
          </w:cols>
          <w:docGrid w:linePitch="360"/>
        </w:sectPr>
      </w:pPr>
    </w:p>
    <w:p w:rsidR="00000000" w:rsidRDefault="007F1F0D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tabs>
          <w:tab w:val="left" w:pos="8580"/>
        </w:tabs>
        <w:spacing w:line="0" w:lineRule="atLeast"/>
        <w:ind w:left="120"/>
        <w:rPr>
          <w:rFonts w:ascii="Segoe UI" w:eastAsia="Segoe UI" w:hAnsi="Segoe UI"/>
          <w:sz w:val="16"/>
        </w:rPr>
      </w:pPr>
      <w:r>
        <w:rPr>
          <w:rFonts w:ascii="Wingdings" w:eastAsia="Wingdings" w:hAnsi="Wingdings"/>
          <w:sz w:val="16"/>
        </w:rPr>
        <w:t></w:t>
      </w:r>
      <w:r>
        <w:rPr>
          <w:rFonts w:ascii="Wingdings" w:eastAsia="Wingdings" w:hAnsi="Wingdings"/>
          <w:sz w:val="16"/>
        </w:rPr>
        <w:t></w:t>
      </w:r>
      <w:r>
        <w:rPr>
          <w:rFonts w:ascii="Segoe UI" w:eastAsia="Segoe UI" w:hAnsi="Segoe UI"/>
          <w:sz w:val="16"/>
        </w:rPr>
        <w:t>Automatische Updates im Betriebssystem aktivieren</w:t>
      </w:r>
      <w:r>
        <w:rPr>
          <w:rFonts w:ascii="Wingdings" w:eastAsia="Wingdings" w:hAnsi="Wingdings"/>
          <w:sz w:val="16"/>
        </w:rPr>
        <w:t></w:t>
      </w:r>
      <w:r>
        <w:rPr>
          <w:rFonts w:ascii="Wingdings" w:eastAsia="Wingdings" w:hAnsi="Wingdings"/>
          <w:sz w:val="16"/>
        </w:rPr>
        <w:t></w:t>
      </w:r>
      <w:r>
        <w:rPr>
          <w:rFonts w:ascii="Wingdings" w:eastAsia="Wingdings" w:hAnsi="Wingdings"/>
          <w:sz w:val="16"/>
        </w:rPr>
        <w:t></w:t>
      </w:r>
      <w:r>
        <w:rPr>
          <w:rFonts w:ascii="Wingdings" w:eastAsia="Wingdings" w:hAnsi="Wingdings"/>
          <w:sz w:val="16"/>
        </w:rPr>
        <w:t></w:t>
      </w:r>
      <w:r>
        <w:rPr>
          <w:rFonts w:ascii="Segoe UI" w:eastAsia="Segoe UI" w:hAnsi="Segoe UI"/>
          <w:sz w:val="16"/>
        </w:rPr>
        <w:t>Automatische Updates des Browsers aktivieren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sz w:val="16"/>
        </w:rPr>
        <w:t></w:t>
      </w:r>
      <w:r>
        <w:rPr>
          <w:rFonts w:ascii="Wingdings" w:eastAsia="Wingdings" w:hAnsi="Wingdings"/>
          <w:sz w:val="16"/>
        </w:rPr>
        <w:t></w:t>
      </w:r>
      <w:r>
        <w:rPr>
          <w:rFonts w:ascii="Segoe UI" w:eastAsia="Segoe UI" w:hAnsi="Segoe UI"/>
          <w:sz w:val="16"/>
        </w:rPr>
        <w:t>Backups regelmäßig, z. B. einmal wöchentlich auf externe Festplatte</w:t>
      </w:r>
    </w:p>
    <w:p w:rsidR="00000000" w:rsidRDefault="007F1F0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F1F0D">
      <w:pPr>
        <w:tabs>
          <w:tab w:val="left" w:pos="4340"/>
          <w:tab w:val="left" w:pos="8580"/>
        </w:tabs>
        <w:spacing w:line="0" w:lineRule="atLeast"/>
        <w:ind w:left="120"/>
        <w:rPr>
          <w:rFonts w:ascii="Segoe UI" w:eastAsia="Segoe UI" w:hAnsi="Segoe UI"/>
          <w:sz w:val="15"/>
        </w:rPr>
      </w:pPr>
      <w:r>
        <w:rPr>
          <w:rFonts w:ascii="Wingdings" w:eastAsia="Wingdings" w:hAnsi="Wingdings"/>
          <w:sz w:val="16"/>
        </w:rPr>
        <w:t></w:t>
      </w:r>
      <w:r>
        <w:rPr>
          <w:rFonts w:ascii="Wingdings" w:eastAsia="Wingdings" w:hAnsi="Wingdings"/>
          <w:sz w:val="16"/>
        </w:rPr>
        <w:t></w:t>
      </w:r>
      <w:r>
        <w:rPr>
          <w:rFonts w:ascii="Segoe UI" w:eastAsia="Segoe UI" w:hAnsi="Segoe UI"/>
          <w:sz w:val="16"/>
        </w:rPr>
        <w:t>Standard-Gruppenverwaltung (z. B. in Windows)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sz w:val="16"/>
        </w:rPr>
        <w:t></w:t>
      </w:r>
      <w:r>
        <w:rPr>
          <w:rFonts w:ascii="Wingdings" w:eastAsia="Wingdings" w:hAnsi="Wingdings"/>
          <w:sz w:val="16"/>
        </w:rPr>
        <w:t></w:t>
      </w:r>
      <w:r>
        <w:rPr>
          <w:rFonts w:ascii="Segoe UI" w:eastAsia="Segoe UI" w:hAnsi="Segoe UI"/>
          <w:sz w:val="16"/>
        </w:rPr>
        <w:t>Aktueller Virenscanner/Sicherheitssoftware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sz w:val="15"/>
        </w:rPr>
        <w:t></w:t>
      </w:r>
      <w:r>
        <w:rPr>
          <w:rFonts w:ascii="Wingdings" w:eastAsia="Wingdings" w:hAnsi="Wingdings"/>
          <w:sz w:val="15"/>
        </w:rPr>
        <w:t></w:t>
      </w:r>
      <w:r>
        <w:rPr>
          <w:rFonts w:ascii="Segoe UI" w:eastAsia="Segoe UI" w:hAnsi="Segoe UI"/>
          <w:sz w:val="15"/>
        </w:rPr>
        <w:t>Papieraktenvernichtung mit Standard-Shredder</w:t>
      </w:r>
    </w:p>
    <w:sectPr w:rsidR="00000000">
      <w:type w:val="continuous"/>
      <w:pgSz w:w="16840" w:h="11906" w:orient="landscape"/>
      <w:pgMar w:top="430" w:right="358" w:bottom="119" w:left="740" w:header="0" w:footer="0" w:gutter="0"/>
      <w:cols w:space="0" w:equalWidth="0">
        <w:col w:w="15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1F0D"/>
    <w:rsid w:val="007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2993</Characters>
  <Application>Microsoft Office Word</Application>
  <DocSecurity>4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2020-03-15T08:32:00Z</dcterms:created>
  <dcterms:modified xsi:type="dcterms:W3CDTF">2020-03-15T08:32:00Z</dcterms:modified>
</cp:coreProperties>
</file>